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1F977" w14:textId="77777777" w:rsidR="007A60EE" w:rsidRDefault="007A60EE" w:rsidP="007A60EE">
      <w:pPr>
        <w:spacing w:line="200" w:lineRule="exact"/>
        <w:rPr>
          <w:bCs/>
          <w:color w:val="0000FF"/>
          <w:sz w:val="22"/>
          <w:szCs w:val="22"/>
        </w:rPr>
      </w:pPr>
      <w:r>
        <w:rPr>
          <w:bCs/>
          <w:color w:val="0000FF"/>
          <w:sz w:val="22"/>
          <w:szCs w:val="22"/>
        </w:rPr>
        <w:t>Mohammad Al-Mamun</w:t>
      </w:r>
    </w:p>
    <w:p w14:paraId="2541A918" w14:textId="77777777" w:rsidR="00890586" w:rsidRDefault="00890586"/>
    <w:p w14:paraId="178C4724" w14:textId="20B6F0D4" w:rsidR="001509DE" w:rsidRDefault="00F45699">
      <w:r>
        <w:t xml:space="preserve">Dai Z, Abate </w:t>
      </w:r>
      <w:r w:rsidRPr="00F45699">
        <w:rPr>
          <w:b/>
          <w:bCs/>
        </w:rPr>
        <w:t>MA, Al-Mamun MA</w:t>
      </w:r>
      <w:r>
        <w:t>, Kraner JC, Mock AR, Smith GS. Male Predominance in West Virginia Unintentional Overdose Deaths Is Influenced by Alcohol and Co-Intoxicants. Journal of Studies on Alcohol and Drugs. 2025;86(3):358-366.</w:t>
      </w:r>
    </w:p>
    <w:p w14:paraId="7B91DBAF" w14:textId="77777777" w:rsidR="00F45699" w:rsidRDefault="00F45699"/>
    <w:p w14:paraId="25A5BDD7" w14:textId="1B6EE83B" w:rsidR="001509DE" w:rsidRDefault="00F45699">
      <w:r>
        <w:t xml:space="preserve">Kido K, </w:t>
      </w:r>
      <w:r w:rsidRPr="00F45699">
        <w:rPr>
          <w:b/>
          <w:bCs/>
        </w:rPr>
        <w:t>Al-Mamun MA.</w:t>
      </w:r>
      <w:r>
        <w:t xml:space="preserve"> Evaluation of Patients with Heart Failure with Reduced Ejection Fraction Treated with Bumetanide versus Torsemide. Cardiology. 2025.</w:t>
      </w:r>
    </w:p>
    <w:p w14:paraId="62709EEB" w14:textId="77777777" w:rsidR="00F45699" w:rsidRDefault="00F45699"/>
    <w:p w14:paraId="158D97F5" w14:textId="08CFEFFC" w:rsidR="001509DE" w:rsidRDefault="00F45699">
      <w:r>
        <w:t>Dangpiaei S</w:t>
      </w:r>
      <w:r w:rsidRPr="00F45699">
        <w:rPr>
          <w:b/>
          <w:bCs/>
        </w:rPr>
        <w:t>, Al-Mamun MA</w:t>
      </w:r>
      <w:r>
        <w:t>. Evaluating health-related quality of life and health resource utilization among Gabapentinoid users with substance use disorder in the US: Trends, co-prescriptions, and cost analysis. Exploratory Research in Clinical and Social Pharmacy. 2025:100618.</w:t>
      </w:r>
    </w:p>
    <w:p w14:paraId="740B4BC5" w14:textId="77777777" w:rsidR="00F45699" w:rsidRDefault="00F45699"/>
    <w:p w14:paraId="7066C67D" w14:textId="2C365424" w:rsidR="001509DE" w:rsidRDefault="00F45699">
      <w:r>
        <w:t xml:space="preserve">Kido K, </w:t>
      </w:r>
      <w:r w:rsidRPr="00F45699">
        <w:rPr>
          <w:b/>
          <w:bCs/>
        </w:rPr>
        <w:t>Al-Mamun MA</w:t>
      </w:r>
      <w:r>
        <w:t>. Risk Assessment of Amiodarone Use in Patients with Cirrhosis and Heart Failure. Current Drug Safety. 2025.</w:t>
      </w:r>
    </w:p>
    <w:p w14:paraId="31D9A86A" w14:textId="77777777" w:rsidR="00F45699" w:rsidRDefault="00F45699"/>
    <w:p w14:paraId="061EBFDB" w14:textId="3B46A865" w:rsidR="001509DE" w:rsidRDefault="00F45699">
      <w:r w:rsidRPr="00F45699">
        <w:rPr>
          <w:b/>
          <w:bCs/>
        </w:rPr>
        <w:t>Al-Mamun MA</w:t>
      </w:r>
      <w:r>
        <w:t>, Jeun KJ, Brothers T, Asare EO, Shawwa K, Ahmed I. Evaluating the kidney disease progression using a comprehensive patient profiling algorithm: A hybrid clustering approach. PloS one. 2025;20(7):e0310749.</w:t>
      </w:r>
    </w:p>
    <w:p w14:paraId="64B2E3C3" w14:textId="77777777" w:rsidR="00F45699" w:rsidRDefault="00F45699"/>
    <w:p w14:paraId="3DD89A50" w14:textId="5B353A0C" w:rsidR="001509DE" w:rsidRDefault="00F45699">
      <w:r>
        <w:t xml:space="preserve">Choudhury A, </w:t>
      </w:r>
      <w:proofErr w:type="spellStart"/>
      <w:r>
        <w:t>Shahsavar</w:t>
      </w:r>
      <w:proofErr w:type="spellEnd"/>
      <w:r>
        <w:t xml:space="preserve"> Y, Ahmed I, </w:t>
      </w:r>
      <w:r w:rsidRPr="00F45699">
        <w:rPr>
          <w:b/>
          <w:bCs/>
        </w:rPr>
        <w:t>Al-Mamun MA</w:t>
      </w:r>
      <w:r>
        <w:t>, Elkefi S. Exploring Patient-Centered Perspectives on Suicidal Ideation: A Mixed-Methods Investigation in Gastrointestinal Cancer Care. Cancers. 2025;17(15):2460.</w:t>
      </w:r>
    </w:p>
    <w:p w14:paraId="39A4CD2C" w14:textId="77777777" w:rsidR="00F45699" w:rsidRDefault="00F45699"/>
    <w:p w14:paraId="025FF039" w14:textId="2400CE14" w:rsidR="001509DE" w:rsidRDefault="00F45699">
      <w:r>
        <w:t xml:space="preserve">Corcoran KE, Martinez SA, Tsikis S, </w:t>
      </w:r>
      <w:r w:rsidRPr="00F45699">
        <w:rPr>
          <w:b/>
          <w:bCs/>
        </w:rPr>
        <w:t>Al‐Mamun MA</w:t>
      </w:r>
      <w:r>
        <w:t>, Group IMC. Long‐term gastrointestinal outcomes in pediatric intestinal malrotation patients following operative treatment. Journal of Pediatric Gastroenterology and Nutrition. 2025;81(5):1166.</w:t>
      </w:r>
    </w:p>
    <w:p w14:paraId="358F6904" w14:textId="77777777" w:rsidR="00F45699" w:rsidRDefault="00F45699"/>
    <w:p w14:paraId="59BC7BAC" w14:textId="4DEEA86F" w:rsidR="001509DE" w:rsidRDefault="00F45699">
      <w:r>
        <w:t xml:space="preserve">Ramazani M, Brothers T, Ahmed I, </w:t>
      </w:r>
      <w:r w:rsidRPr="00F45699">
        <w:rPr>
          <w:b/>
          <w:bCs/>
        </w:rPr>
        <w:t>Al‐Mamun MA</w:t>
      </w:r>
      <w:r>
        <w:t>. Synthetic Data–Driven Early Prediction Framework for Acute Kidney Injury in Patients Receiving Vancomycin and Ceftazidime/Avibactam. Pharmacotherapy: The Journal of Human Pharmacology and Drug Therapy. 2025.</w:t>
      </w:r>
    </w:p>
    <w:p w14:paraId="2EE14F53" w14:textId="77777777" w:rsidR="00F45699" w:rsidRDefault="00F45699"/>
    <w:p w14:paraId="14ACF4D4" w14:textId="57C09BFD" w:rsidR="001509DE" w:rsidRDefault="00F45699">
      <w:r>
        <w:t xml:space="preserve">Shahbazi MA, </w:t>
      </w:r>
      <w:r w:rsidRPr="00F45699">
        <w:rPr>
          <w:b/>
          <w:bCs/>
        </w:rPr>
        <w:t>Al-Mamun MA</w:t>
      </w:r>
      <w:r>
        <w:t>, Brothers T, Ahmed I. A machine learning framework for identifying phenotypes in chronic kidney disease. Healthcare Analytics. 2025:100425.</w:t>
      </w:r>
    </w:p>
    <w:p w14:paraId="4A391C0B" w14:textId="77777777" w:rsidR="00F45699" w:rsidRDefault="00F45699"/>
    <w:p w14:paraId="0BF5A03A" w14:textId="132D27CF" w:rsidR="001509DE" w:rsidRDefault="00F45699">
      <w:r>
        <w:t xml:space="preserve">Jeun KJ, Brothers T, Shawwa K, </w:t>
      </w:r>
      <w:r w:rsidRPr="00F45699">
        <w:rPr>
          <w:b/>
          <w:bCs/>
        </w:rPr>
        <w:t>Al-Mamun MA</w:t>
      </w:r>
      <w:r>
        <w:t>. A retrospective cohort study on the bidirectional association between depression and chronic kidney disease. Frontiers in Nephrology. 2025;5:1743594.</w:t>
      </w:r>
    </w:p>
    <w:p w14:paraId="69107675" w14:textId="77777777" w:rsidR="007A60EE" w:rsidRDefault="007A60EE" w:rsidP="007A60EE">
      <w:pPr>
        <w:spacing w:line="200" w:lineRule="exact"/>
        <w:rPr>
          <w:bCs/>
          <w:color w:val="0000FF"/>
          <w:sz w:val="22"/>
          <w:szCs w:val="22"/>
        </w:rPr>
      </w:pPr>
    </w:p>
    <w:p w14:paraId="379D58D8" w14:textId="77777777" w:rsidR="007A60EE" w:rsidRDefault="007A60EE" w:rsidP="007A60EE">
      <w:pPr>
        <w:spacing w:line="200" w:lineRule="exact"/>
        <w:rPr>
          <w:bCs/>
          <w:color w:val="0000FF"/>
          <w:sz w:val="22"/>
          <w:szCs w:val="22"/>
        </w:rPr>
      </w:pPr>
    </w:p>
    <w:p w14:paraId="2A66375A" w14:textId="77777777" w:rsidR="007A60EE" w:rsidRDefault="007A60EE" w:rsidP="007A60EE">
      <w:pPr>
        <w:spacing w:line="200" w:lineRule="exact"/>
        <w:rPr>
          <w:bCs/>
          <w:color w:val="0000FF"/>
          <w:sz w:val="22"/>
          <w:szCs w:val="22"/>
        </w:rPr>
      </w:pPr>
      <w:r>
        <w:rPr>
          <w:bCs/>
          <w:color w:val="0000FF"/>
          <w:sz w:val="22"/>
          <w:szCs w:val="22"/>
        </w:rPr>
        <w:t>Sabina Nduaguba</w:t>
      </w:r>
    </w:p>
    <w:p w14:paraId="2E664C37" w14:textId="77777777" w:rsidR="00A846F2" w:rsidRPr="00890586" w:rsidRDefault="00A846F2" w:rsidP="00890586">
      <w:pPr>
        <w:tabs>
          <w:tab w:val="left" w:pos="1078"/>
        </w:tabs>
        <w:spacing w:before="199"/>
        <w:ind w:right="364"/>
        <w:rPr>
          <w:bCs/>
        </w:rPr>
      </w:pPr>
      <w:r w:rsidRPr="00890586">
        <w:rPr>
          <w:b/>
        </w:rPr>
        <w:t>Nduaguba S</w:t>
      </w:r>
      <w:r w:rsidRPr="00890586">
        <w:rPr>
          <w:bCs/>
        </w:rPr>
        <w:t xml:space="preserve">, Stout N, Kelly K, Almubarak M. Organizational preparedness for implementing an evidence-based multilevel intervention to improve the timeliness of lung cancer treatment. J Am Pharm Assoc (2003). Published online October 29, 2025. </w:t>
      </w:r>
      <w:proofErr w:type="gramStart"/>
      <w:r w:rsidRPr="00890586">
        <w:rPr>
          <w:bCs/>
        </w:rPr>
        <w:t>doi:10.1016/j.japh</w:t>
      </w:r>
      <w:proofErr w:type="gramEnd"/>
      <w:r w:rsidRPr="00890586">
        <w:rPr>
          <w:bCs/>
        </w:rPr>
        <w:t>.2025.102956</w:t>
      </w:r>
    </w:p>
    <w:p w14:paraId="2586AFA0" w14:textId="77777777" w:rsidR="00A846F2" w:rsidRPr="00890586" w:rsidRDefault="00A846F2" w:rsidP="00890586">
      <w:pPr>
        <w:tabs>
          <w:tab w:val="left" w:pos="1078"/>
        </w:tabs>
        <w:spacing w:before="199"/>
        <w:ind w:right="364"/>
      </w:pPr>
      <w:r w:rsidRPr="00890586">
        <w:rPr>
          <w:b/>
        </w:rPr>
        <w:lastRenderedPageBreak/>
        <w:t>Nduaguba S</w:t>
      </w:r>
      <w:r w:rsidRPr="00890586">
        <w:rPr>
          <w:bCs/>
        </w:rPr>
        <w:t xml:space="preserve">, Khadka S, Stout N, Almubarak M, Kelly K. Multilevel factors associated with timeliness of care along the lung cancer care continuum - A systematic review. J Am Pharm Assoc (2003). Published online November 1, 2025. </w:t>
      </w:r>
      <w:proofErr w:type="gramStart"/>
      <w:r w:rsidRPr="00890586">
        <w:rPr>
          <w:bCs/>
        </w:rPr>
        <w:t>doi:10.1016/j.japh</w:t>
      </w:r>
      <w:proofErr w:type="gramEnd"/>
      <w:r w:rsidRPr="00890586">
        <w:rPr>
          <w:bCs/>
        </w:rPr>
        <w:t>.2025.102965</w:t>
      </w:r>
    </w:p>
    <w:p w14:paraId="3B0C5834" w14:textId="77777777" w:rsidR="00A846F2" w:rsidRPr="00890586" w:rsidRDefault="00A846F2" w:rsidP="00890586">
      <w:pPr>
        <w:tabs>
          <w:tab w:val="left" w:pos="1078"/>
        </w:tabs>
        <w:spacing w:before="199"/>
        <w:ind w:right="364"/>
      </w:pPr>
      <w:r w:rsidRPr="00890586">
        <w:rPr>
          <w:b/>
          <w:bCs/>
        </w:rPr>
        <w:t>Nduaguba S</w:t>
      </w:r>
      <w:r w:rsidRPr="00890586">
        <w:t>, Wijayabahu A, Ilozumba M, Khadka S, Adkins L, Cook R. Racial and Ethnic Disparities in Cancer Care among People with HIV in the USA - A Systematic Literature Review. International Healthcare Reviews. doi.org/10.56226/134</w:t>
      </w:r>
    </w:p>
    <w:p w14:paraId="63A09CE1" w14:textId="77777777" w:rsidR="00A846F2" w:rsidRPr="00890586" w:rsidRDefault="00A846F2" w:rsidP="00890586">
      <w:pPr>
        <w:tabs>
          <w:tab w:val="left" w:pos="1078"/>
        </w:tabs>
        <w:spacing w:before="199"/>
        <w:ind w:right="364"/>
        <w:rPr>
          <w:rFonts w:asciiTheme="minorHAnsi" w:hAnsiTheme="minorHAnsi" w:cstheme="minorHAnsi"/>
          <w:sz w:val="28"/>
        </w:rPr>
      </w:pPr>
      <w:r w:rsidRPr="00890586">
        <w:rPr>
          <w:rFonts w:asciiTheme="minorHAnsi" w:hAnsiTheme="minorHAnsi" w:cstheme="minorHAnsi"/>
          <w:color w:val="212121"/>
          <w:shd w:val="clear" w:color="auto" w:fill="FFFFFF"/>
        </w:rPr>
        <w:t xml:space="preserve">GBD 2023 Causes of Death Collaborators (includes </w:t>
      </w:r>
      <w:r w:rsidRPr="00890586">
        <w:rPr>
          <w:rFonts w:asciiTheme="minorHAnsi" w:hAnsiTheme="minorHAnsi" w:cstheme="minorHAnsi"/>
          <w:b/>
          <w:bCs/>
          <w:color w:val="212121"/>
          <w:shd w:val="clear" w:color="auto" w:fill="FFFFFF"/>
        </w:rPr>
        <w:t>S. Nduaguba</w:t>
      </w:r>
      <w:r w:rsidRPr="00890586">
        <w:rPr>
          <w:rFonts w:asciiTheme="minorHAnsi" w:hAnsiTheme="minorHAnsi" w:cstheme="minorHAnsi"/>
          <w:color w:val="212121"/>
          <w:shd w:val="clear" w:color="auto" w:fill="FFFFFF"/>
        </w:rPr>
        <w:t>). Global burden of 292 causes of death in 204 countries and territories and 660 subnational locations, 1990-2023: a systematic analysis for the Global Burden of Disease Study 2023. </w:t>
      </w:r>
      <w:r w:rsidRPr="00890586">
        <w:rPr>
          <w:rFonts w:asciiTheme="minorHAnsi" w:hAnsiTheme="minorHAnsi" w:cstheme="minorHAnsi"/>
          <w:i/>
          <w:iCs/>
          <w:color w:val="212121"/>
          <w:shd w:val="clear" w:color="auto" w:fill="FFFFFF"/>
        </w:rPr>
        <w:t>Lancet</w:t>
      </w:r>
      <w:r w:rsidRPr="00890586">
        <w:rPr>
          <w:rFonts w:asciiTheme="minorHAnsi" w:hAnsiTheme="minorHAnsi" w:cstheme="minorHAnsi"/>
          <w:color w:val="212121"/>
          <w:shd w:val="clear" w:color="auto" w:fill="FFFFFF"/>
        </w:rPr>
        <w:t>. 2025;406(10513):1811-1872. doi:10.1016/S0140-6736(25)01917-8</w:t>
      </w:r>
    </w:p>
    <w:p w14:paraId="23AF4359" w14:textId="77777777" w:rsidR="00A846F2" w:rsidRPr="00890586" w:rsidRDefault="00A846F2" w:rsidP="00890586">
      <w:pPr>
        <w:tabs>
          <w:tab w:val="left" w:pos="1078"/>
        </w:tabs>
        <w:spacing w:before="199"/>
        <w:ind w:right="364"/>
      </w:pPr>
      <w:r w:rsidRPr="00890586">
        <w:rPr>
          <w:b/>
        </w:rPr>
        <w:t>Nduaguba S</w:t>
      </w:r>
      <w:r w:rsidRPr="00890586">
        <w:t xml:space="preserve">, Lumadue A, Stout N. Time to non-small cell lung cancer treatment and impact on survival in West Virginia. Cancer Epidemiol. Published online July 28, 2025. </w:t>
      </w:r>
      <w:proofErr w:type="gramStart"/>
      <w:r w:rsidRPr="00890586">
        <w:rPr>
          <w:spacing w:val="-2"/>
        </w:rPr>
        <w:t>doi:10.1016/j.canep</w:t>
      </w:r>
      <w:proofErr w:type="gramEnd"/>
      <w:r w:rsidRPr="00890586">
        <w:rPr>
          <w:spacing w:val="-2"/>
        </w:rPr>
        <w:t>.2025.102894</w:t>
      </w:r>
    </w:p>
    <w:p w14:paraId="508C7FE5" w14:textId="77777777" w:rsidR="00890586" w:rsidRDefault="00890586" w:rsidP="00890586">
      <w:pPr>
        <w:tabs>
          <w:tab w:val="left" w:pos="1078"/>
        </w:tabs>
        <w:ind w:right="352"/>
        <w:rPr>
          <w:b/>
        </w:rPr>
      </w:pPr>
    </w:p>
    <w:p w14:paraId="15B77E7B" w14:textId="32FDE023" w:rsidR="00A846F2" w:rsidRPr="00890586" w:rsidRDefault="00A846F2" w:rsidP="00890586">
      <w:pPr>
        <w:tabs>
          <w:tab w:val="left" w:pos="1078"/>
        </w:tabs>
        <w:ind w:right="352"/>
      </w:pPr>
      <w:r w:rsidRPr="00890586">
        <w:rPr>
          <w:b/>
        </w:rPr>
        <w:t>Nduaguba SO</w:t>
      </w:r>
      <w:r w:rsidRPr="00890586">
        <w:t xml:space="preserve">, </w:t>
      </w:r>
      <w:proofErr w:type="spellStart"/>
      <w:r w:rsidRPr="00890586">
        <w:t>Sdrimas</w:t>
      </w:r>
      <w:proofErr w:type="spellEnd"/>
      <w:r w:rsidRPr="00890586">
        <w:t xml:space="preserve"> K, Pifer P, Hazlehurst L. Obesity as a Predictive Factor among Patients</w:t>
      </w:r>
      <w:r w:rsidRPr="00890586">
        <w:rPr>
          <w:spacing w:val="-14"/>
        </w:rPr>
        <w:t xml:space="preserve"> </w:t>
      </w:r>
      <w:r w:rsidRPr="00890586">
        <w:t>with</w:t>
      </w:r>
      <w:r w:rsidRPr="00890586">
        <w:rPr>
          <w:spacing w:val="-14"/>
        </w:rPr>
        <w:t xml:space="preserve"> </w:t>
      </w:r>
      <w:r w:rsidRPr="00890586">
        <w:t>Lung</w:t>
      </w:r>
      <w:r w:rsidRPr="00890586">
        <w:rPr>
          <w:spacing w:val="-13"/>
        </w:rPr>
        <w:t xml:space="preserve"> </w:t>
      </w:r>
      <w:r w:rsidRPr="00890586">
        <w:t>Cancer</w:t>
      </w:r>
      <w:r w:rsidRPr="00890586">
        <w:rPr>
          <w:spacing w:val="-14"/>
        </w:rPr>
        <w:t xml:space="preserve"> </w:t>
      </w:r>
      <w:r w:rsidRPr="00890586">
        <w:t>and</w:t>
      </w:r>
      <w:r w:rsidRPr="00890586">
        <w:rPr>
          <w:spacing w:val="-13"/>
        </w:rPr>
        <w:t xml:space="preserve"> </w:t>
      </w:r>
      <w:r w:rsidRPr="00890586">
        <w:t>Cutaneous</w:t>
      </w:r>
      <w:r w:rsidRPr="00890586">
        <w:rPr>
          <w:spacing w:val="-14"/>
        </w:rPr>
        <w:t xml:space="preserve"> </w:t>
      </w:r>
      <w:r w:rsidRPr="00890586">
        <w:t>Melanoma</w:t>
      </w:r>
      <w:r w:rsidRPr="00890586">
        <w:rPr>
          <w:spacing w:val="-12"/>
        </w:rPr>
        <w:t xml:space="preserve"> </w:t>
      </w:r>
      <w:r w:rsidRPr="00890586">
        <w:t>Treated</w:t>
      </w:r>
      <w:r w:rsidRPr="00890586">
        <w:rPr>
          <w:spacing w:val="-7"/>
        </w:rPr>
        <w:t xml:space="preserve"> </w:t>
      </w:r>
      <w:r w:rsidRPr="00890586">
        <w:t>with</w:t>
      </w:r>
      <w:r w:rsidRPr="00890586">
        <w:rPr>
          <w:spacing w:val="-14"/>
        </w:rPr>
        <w:t xml:space="preserve"> </w:t>
      </w:r>
      <w:r w:rsidRPr="00890586">
        <w:t>Immune</w:t>
      </w:r>
      <w:r w:rsidRPr="00890586">
        <w:rPr>
          <w:spacing w:val="-13"/>
        </w:rPr>
        <w:t xml:space="preserve"> </w:t>
      </w:r>
      <w:r w:rsidRPr="00890586">
        <w:t>Checkpoint</w:t>
      </w:r>
      <w:r w:rsidRPr="00890586">
        <w:rPr>
          <w:spacing w:val="-14"/>
        </w:rPr>
        <w:t xml:space="preserve"> </w:t>
      </w:r>
      <w:r w:rsidRPr="00890586">
        <w:t xml:space="preserve">Inhibitors and EGFR Inhibitors. International Journal of Cancer Care and Delivery. 2025. </w:t>
      </w:r>
      <w:r w:rsidRPr="00890586">
        <w:rPr>
          <w:spacing w:val="-2"/>
        </w:rPr>
        <w:t>doi:10.53876/001c.130003</w:t>
      </w:r>
    </w:p>
    <w:p w14:paraId="3B7C03A9" w14:textId="77777777" w:rsidR="00A846F2" w:rsidRPr="00890586" w:rsidRDefault="00A846F2" w:rsidP="00890586">
      <w:pPr>
        <w:tabs>
          <w:tab w:val="left" w:pos="1078"/>
        </w:tabs>
        <w:spacing w:before="196"/>
        <w:ind w:right="352"/>
      </w:pPr>
      <w:r w:rsidRPr="00890586">
        <w:t>GBD 2019 Acute and Chronic</w:t>
      </w:r>
      <w:r w:rsidRPr="00890586">
        <w:rPr>
          <w:spacing w:val="-6"/>
        </w:rPr>
        <w:t xml:space="preserve"> </w:t>
      </w:r>
      <w:r w:rsidRPr="00890586">
        <w:t>Care Collaborators</w:t>
      </w:r>
      <w:r w:rsidRPr="00890586">
        <w:rPr>
          <w:spacing w:val="40"/>
        </w:rPr>
        <w:t xml:space="preserve"> </w:t>
      </w:r>
      <w:r w:rsidRPr="00890586">
        <w:t xml:space="preserve">(includes </w:t>
      </w:r>
      <w:r w:rsidRPr="00890586">
        <w:rPr>
          <w:b/>
        </w:rPr>
        <w:t>S.</w:t>
      </w:r>
      <w:r w:rsidRPr="00890586">
        <w:rPr>
          <w:b/>
          <w:spacing w:val="-5"/>
        </w:rPr>
        <w:t xml:space="preserve"> </w:t>
      </w:r>
      <w:r w:rsidRPr="00890586">
        <w:rPr>
          <w:b/>
        </w:rPr>
        <w:t>Nduaguba</w:t>
      </w:r>
      <w:r w:rsidRPr="00890586">
        <w:t>). Characterising acute and chronic care needs: insights from the Global Burden of Disease Study 2019. Nat Commun. 2025;16(1):4235. Published 2025 May 7. doi:10.1038/s41467-025-56910-x</w:t>
      </w:r>
    </w:p>
    <w:p w14:paraId="306606B1" w14:textId="77777777" w:rsidR="00890586" w:rsidRDefault="00890586" w:rsidP="00890586">
      <w:pPr>
        <w:tabs>
          <w:tab w:val="left" w:pos="1078"/>
        </w:tabs>
        <w:ind w:right="352"/>
        <w:rPr>
          <w:b/>
        </w:rPr>
      </w:pPr>
    </w:p>
    <w:p w14:paraId="1FA52F1B" w14:textId="4701F021" w:rsidR="00A846F2" w:rsidRPr="00890586" w:rsidRDefault="00A846F2" w:rsidP="00890586">
      <w:pPr>
        <w:tabs>
          <w:tab w:val="left" w:pos="1078"/>
        </w:tabs>
        <w:ind w:right="352"/>
      </w:pPr>
      <w:r w:rsidRPr="00890586">
        <w:rPr>
          <w:b/>
        </w:rPr>
        <w:t>Nduaguba SO</w:t>
      </w:r>
      <w:r w:rsidRPr="00890586">
        <w:t>, Tran PT, Shih R, et al. Respiratory Syncytial Virus Incidence in Young Children in the United States: Impact of Methodologies</w:t>
      </w:r>
      <w:r w:rsidRPr="00890586">
        <w:rPr>
          <w:spacing w:val="-9"/>
        </w:rPr>
        <w:t xml:space="preserve"> </w:t>
      </w:r>
      <w:r w:rsidRPr="00890586">
        <w:t>and Patient Characteristics. Influenza Other Respir Viruses. 2025;19(4</w:t>
      </w:r>
      <w:proofErr w:type="gramStart"/>
      <w:r w:rsidRPr="00890586">
        <w:t>):e</w:t>
      </w:r>
      <w:proofErr w:type="gramEnd"/>
      <w:r w:rsidRPr="00890586">
        <w:t>70094. doi:10.1111/irv.70094</w:t>
      </w:r>
    </w:p>
    <w:p w14:paraId="1DE0C47A" w14:textId="77777777" w:rsidR="00890586" w:rsidRDefault="00890586" w:rsidP="00890586">
      <w:pPr>
        <w:tabs>
          <w:tab w:val="left" w:pos="1078"/>
        </w:tabs>
        <w:ind w:right="352"/>
      </w:pPr>
    </w:p>
    <w:p w14:paraId="1F0CE7F1" w14:textId="551B92EF" w:rsidR="00A846F2" w:rsidRPr="00890586" w:rsidRDefault="00A846F2" w:rsidP="00890586">
      <w:pPr>
        <w:tabs>
          <w:tab w:val="left" w:pos="1078"/>
        </w:tabs>
        <w:ind w:right="352"/>
      </w:pPr>
      <w:r w:rsidRPr="00890586">
        <w:t>Siddiqui ZA,</w:t>
      </w:r>
      <w:r w:rsidRPr="00890586">
        <w:rPr>
          <w:spacing w:val="-1"/>
        </w:rPr>
        <w:t xml:space="preserve"> </w:t>
      </w:r>
      <w:r w:rsidRPr="00890586">
        <w:t>Pathan M,</w:t>
      </w:r>
      <w:r w:rsidRPr="00890586">
        <w:rPr>
          <w:spacing w:val="-1"/>
        </w:rPr>
        <w:t xml:space="preserve"> </w:t>
      </w:r>
      <w:r w:rsidRPr="00890586">
        <w:rPr>
          <w:b/>
        </w:rPr>
        <w:t>Nduaguba S</w:t>
      </w:r>
      <w:r w:rsidRPr="00890586">
        <w:t>, et al. Leveraging social media data to study</w:t>
      </w:r>
      <w:r w:rsidRPr="00890586">
        <w:rPr>
          <w:spacing w:val="-1"/>
        </w:rPr>
        <w:t xml:space="preserve"> </w:t>
      </w:r>
      <w:r w:rsidRPr="00890586">
        <w:t>disease and treatment characteristics of Hodgkin's lymphoma Using Natural Language Processing methods. PLOS Digit Health. 2025;4(3</w:t>
      </w:r>
      <w:proofErr w:type="gramStart"/>
      <w:r w:rsidRPr="00890586">
        <w:t>):e</w:t>
      </w:r>
      <w:proofErr w:type="gramEnd"/>
      <w:r w:rsidRPr="00890586">
        <w:t xml:space="preserve">0000765. Published 2025 Mar 19. </w:t>
      </w:r>
      <w:proofErr w:type="gramStart"/>
      <w:r w:rsidRPr="00890586">
        <w:rPr>
          <w:spacing w:val="-2"/>
        </w:rPr>
        <w:t>doi:10.1371/journal.pdig</w:t>
      </w:r>
      <w:proofErr w:type="gramEnd"/>
      <w:r w:rsidRPr="00890586">
        <w:rPr>
          <w:spacing w:val="-2"/>
        </w:rPr>
        <w:t>.0000765</w:t>
      </w:r>
    </w:p>
    <w:p w14:paraId="7D1A1797" w14:textId="77777777" w:rsidR="007A60EE" w:rsidRDefault="007A60EE" w:rsidP="007A60EE">
      <w:pPr>
        <w:spacing w:line="200" w:lineRule="exact"/>
        <w:rPr>
          <w:bCs/>
          <w:color w:val="0000FF"/>
          <w:sz w:val="22"/>
          <w:szCs w:val="22"/>
        </w:rPr>
      </w:pPr>
    </w:p>
    <w:p w14:paraId="6D07E99F" w14:textId="77777777" w:rsidR="007A60EE" w:rsidRDefault="007A60EE" w:rsidP="007A60EE">
      <w:pPr>
        <w:spacing w:line="200" w:lineRule="exact"/>
        <w:rPr>
          <w:bCs/>
          <w:color w:val="0000FF"/>
          <w:sz w:val="22"/>
          <w:szCs w:val="22"/>
        </w:rPr>
      </w:pPr>
    </w:p>
    <w:p w14:paraId="639A7D02" w14:textId="77777777" w:rsidR="007A60EE" w:rsidRDefault="007A60EE" w:rsidP="007A60EE">
      <w:pPr>
        <w:spacing w:line="200" w:lineRule="exact"/>
        <w:rPr>
          <w:bCs/>
          <w:color w:val="0000FF"/>
          <w:sz w:val="22"/>
          <w:szCs w:val="22"/>
        </w:rPr>
      </w:pPr>
      <w:r>
        <w:rPr>
          <w:bCs/>
          <w:color w:val="0000FF"/>
          <w:sz w:val="22"/>
          <w:szCs w:val="22"/>
        </w:rPr>
        <w:t>Khalid M. Kamal</w:t>
      </w:r>
    </w:p>
    <w:p w14:paraId="38BAA67F" w14:textId="77777777" w:rsidR="007A60EE" w:rsidRDefault="007A60EE" w:rsidP="007A60EE">
      <w:pPr>
        <w:spacing w:line="200" w:lineRule="exact"/>
        <w:rPr>
          <w:bCs/>
          <w:color w:val="0000FF"/>
          <w:sz w:val="22"/>
          <w:szCs w:val="22"/>
        </w:rPr>
      </w:pPr>
    </w:p>
    <w:p w14:paraId="6B9217C6" w14:textId="77777777" w:rsidR="007A60EE" w:rsidRPr="007A60EE" w:rsidRDefault="007A60EE" w:rsidP="007A60EE">
      <w:pPr>
        <w:rPr>
          <w:bCs/>
          <w:i/>
          <w:sz w:val="22"/>
          <w:szCs w:val="22"/>
        </w:rPr>
      </w:pPr>
      <w:r w:rsidRPr="007A60EE">
        <w:rPr>
          <w:bCs/>
          <w:sz w:val="22"/>
          <w:szCs w:val="22"/>
        </w:rPr>
        <w:t>Mbous YP, Siddiqui</w:t>
      </w:r>
      <w:r w:rsidRPr="007A60EE">
        <w:rPr>
          <w:bCs/>
          <w:sz w:val="22"/>
          <w:szCs w:val="22"/>
          <w:vertAlign w:val="superscript"/>
        </w:rPr>
        <w:t xml:space="preserve"> </w:t>
      </w:r>
      <w:r w:rsidRPr="007A60EE">
        <w:rPr>
          <w:bCs/>
          <w:sz w:val="22"/>
          <w:szCs w:val="22"/>
        </w:rPr>
        <w:t xml:space="preserve">ZA, Bharmal M, LeMasters T, Kolodney J, Kelley GA, </w:t>
      </w:r>
      <w:r w:rsidRPr="007A60EE">
        <w:rPr>
          <w:sz w:val="22"/>
          <w:szCs w:val="22"/>
        </w:rPr>
        <w:t>Kamal KM</w:t>
      </w:r>
      <w:r w:rsidRPr="007A60EE">
        <w:rPr>
          <w:bCs/>
          <w:sz w:val="22"/>
          <w:szCs w:val="22"/>
        </w:rPr>
        <w:t xml:space="preserve">, Sambamoorthi U. Type of Pre-Existing Chronic Conditions and Their Associations with Merkel Cell Carcinoma (MCC) Treatment: Prediction and Interpretation using Machine Learning Methods. </w:t>
      </w:r>
      <w:r w:rsidRPr="007A60EE">
        <w:rPr>
          <w:bCs/>
          <w:i/>
          <w:sz w:val="22"/>
          <w:szCs w:val="22"/>
        </w:rPr>
        <w:t>PLoS One,</w:t>
      </w:r>
      <w:r w:rsidRPr="007A60EE">
        <w:rPr>
          <w:bCs/>
          <w:sz w:val="22"/>
          <w:szCs w:val="22"/>
        </w:rPr>
        <w:t xml:space="preserve"> 2025: </w:t>
      </w:r>
      <w:r w:rsidRPr="007A60EE">
        <w:rPr>
          <w:sz w:val="22"/>
          <w:szCs w:val="22"/>
          <w:shd w:val="clear" w:color="auto" w:fill="FFFFFF"/>
        </w:rPr>
        <w:t>20(7):e0327964</w:t>
      </w:r>
      <w:r w:rsidRPr="007A60EE">
        <w:rPr>
          <w:bCs/>
          <w:i/>
          <w:sz w:val="22"/>
          <w:szCs w:val="22"/>
        </w:rPr>
        <w:t>.</w:t>
      </w:r>
    </w:p>
    <w:p w14:paraId="5EA6E543" w14:textId="77777777" w:rsidR="007A60EE" w:rsidRPr="007A60EE" w:rsidRDefault="007A60EE" w:rsidP="007A60EE">
      <w:pPr>
        <w:rPr>
          <w:bCs/>
          <w:sz w:val="22"/>
          <w:szCs w:val="22"/>
        </w:rPr>
      </w:pPr>
    </w:p>
    <w:p w14:paraId="43B62F8E" w14:textId="77777777" w:rsidR="007A60EE" w:rsidRPr="007A60EE" w:rsidRDefault="007A60EE" w:rsidP="007A60EE">
      <w:pPr>
        <w:rPr>
          <w:bCs/>
          <w:sz w:val="22"/>
          <w:szCs w:val="22"/>
        </w:rPr>
      </w:pPr>
      <w:r w:rsidRPr="007A60EE">
        <w:rPr>
          <w:bCs/>
          <w:sz w:val="22"/>
          <w:szCs w:val="22"/>
        </w:rPr>
        <w:t xml:space="preserve">Mbous YP, Mohamed R, Sambamoorthi U, Bharmal M, </w:t>
      </w:r>
      <w:r w:rsidRPr="007A60EE">
        <w:rPr>
          <w:sz w:val="22"/>
          <w:szCs w:val="22"/>
        </w:rPr>
        <w:t>Kamal KM</w:t>
      </w:r>
      <w:r w:rsidRPr="007A60EE">
        <w:rPr>
          <w:bCs/>
          <w:sz w:val="22"/>
          <w:szCs w:val="22"/>
        </w:rPr>
        <w:t xml:space="preserve">, LeMasters T, Kolodney J, Kelley GA. Effectiveness and safety of treatments for early-stage Merkel cell carcinoma: A systematic review and meta-analysis of intervention and observational studies. </w:t>
      </w:r>
      <w:r w:rsidRPr="007A60EE">
        <w:rPr>
          <w:bCs/>
          <w:i/>
          <w:sz w:val="22"/>
          <w:szCs w:val="22"/>
        </w:rPr>
        <w:t>Cancer Medicine</w:t>
      </w:r>
      <w:r w:rsidRPr="007A60EE">
        <w:rPr>
          <w:bCs/>
          <w:sz w:val="22"/>
          <w:szCs w:val="22"/>
        </w:rPr>
        <w:t>, 2025; 14(1):e70553</w:t>
      </w:r>
      <w:r w:rsidRPr="007A60EE">
        <w:rPr>
          <w:bCs/>
          <w:i/>
          <w:sz w:val="22"/>
          <w:szCs w:val="22"/>
        </w:rPr>
        <w:t>.</w:t>
      </w:r>
    </w:p>
    <w:p w14:paraId="3F4B29DC" w14:textId="77777777" w:rsidR="007A60EE" w:rsidRPr="007A60EE" w:rsidRDefault="007A60EE" w:rsidP="007A60EE">
      <w:pPr>
        <w:rPr>
          <w:sz w:val="22"/>
          <w:szCs w:val="22"/>
        </w:rPr>
      </w:pPr>
    </w:p>
    <w:p w14:paraId="4191BD81" w14:textId="4A773AC1" w:rsidR="00A846F2" w:rsidRPr="007A60EE" w:rsidRDefault="007A60EE" w:rsidP="007A60EE">
      <w:r w:rsidRPr="007A60EE">
        <w:rPr>
          <w:sz w:val="22"/>
          <w:szCs w:val="22"/>
        </w:rPr>
        <w:t xml:space="preserve">Pathan M, Kido K, </w:t>
      </w:r>
      <w:r w:rsidRPr="007A60EE">
        <w:rPr>
          <w:bCs/>
          <w:sz w:val="22"/>
          <w:szCs w:val="22"/>
        </w:rPr>
        <w:t>Kamal KM</w:t>
      </w:r>
      <w:r w:rsidRPr="007A60EE">
        <w:rPr>
          <w:sz w:val="22"/>
          <w:szCs w:val="22"/>
        </w:rPr>
        <w:t xml:space="preserve">. </w:t>
      </w:r>
      <w:r w:rsidRPr="007A60EE">
        <w:t>Cost analysis of a clinical pharmacist-led multidisciplinary iron deficiency treatment clinic for patients with heart failure or pulmonary hypertension</w:t>
      </w:r>
      <w:r w:rsidRPr="007A60EE">
        <w:rPr>
          <w:sz w:val="22"/>
          <w:szCs w:val="22"/>
        </w:rPr>
        <w:t xml:space="preserve">. </w:t>
      </w:r>
      <w:r w:rsidRPr="007A60EE">
        <w:rPr>
          <w:i/>
          <w:sz w:val="22"/>
          <w:szCs w:val="22"/>
        </w:rPr>
        <w:t>American</w:t>
      </w:r>
      <w:r w:rsidR="00890586">
        <w:rPr>
          <w:i/>
          <w:sz w:val="22"/>
          <w:szCs w:val="22"/>
        </w:rPr>
        <w:t xml:space="preserve"> </w:t>
      </w:r>
      <w:r w:rsidRPr="007A60EE">
        <w:rPr>
          <w:i/>
          <w:sz w:val="22"/>
          <w:szCs w:val="22"/>
        </w:rPr>
        <w:t>Journal of Health-System Pharmacy</w:t>
      </w:r>
      <w:r w:rsidRPr="007A60EE">
        <w:rPr>
          <w:sz w:val="22"/>
          <w:szCs w:val="22"/>
        </w:rPr>
        <w:t xml:space="preserve">, </w:t>
      </w:r>
      <w:r w:rsidRPr="007A60EE">
        <w:rPr>
          <w:rStyle w:val="cit"/>
          <w:sz w:val="22"/>
          <w:szCs w:val="22"/>
        </w:rPr>
        <w:t xml:space="preserve">2025 Jun </w:t>
      </w:r>
      <w:proofErr w:type="gramStart"/>
      <w:r w:rsidRPr="007A60EE">
        <w:rPr>
          <w:rStyle w:val="cit"/>
          <w:sz w:val="22"/>
          <w:szCs w:val="22"/>
        </w:rPr>
        <w:t>19:zxaf</w:t>
      </w:r>
      <w:proofErr w:type="gramEnd"/>
      <w:r w:rsidRPr="007A60EE">
        <w:rPr>
          <w:rStyle w:val="cit"/>
          <w:sz w:val="22"/>
          <w:szCs w:val="22"/>
        </w:rPr>
        <w:t xml:space="preserve">113. </w:t>
      </w:r>
      <w:r w:rsidRPr="007A60EE">
        <w:rPr>
          <w:rStyle w:val="citation-doi"/>
          <w:sz w:val="22"/>
          <w:szCs w:val="22"/>
          <w:shd w:val="clear" w:color="auto" w:fill="FFFFFF"/>
        </w:rPr>
        <w:t>doi: 10.1093/ajhp/zxaf113</w:t>
      </w:r>
      <w:r w:rsidRPr="007A60EE">
        <w:rPr>
          <w:sz w:val="22"/>
          <w:szCs w:val="22"/>
        </w:rPr>
        <w:t>.</w:t>
      </w:r>
      <w:r w:rsidRPr="007A60EE">
        <w:rPr>
          <w:sz w:val="22"/>
          <w:szCs w:val="22"/>
          <w:shd w:val="clear" w:color="auto" w:fill="FFFFFF"/>
        </w:rPr>
        <w:br/>
      </w:r>
    </w:p>
    <w:sectPr w:rsidR="00A846F2" w:rsidRPr="007A60EE" w:rsidSect="00890586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419CE"/>
    <w:multiLevelType w:val="hybridMultilevel"/>
    <w:tmpl w:val="2E9099E2"/>
    <w:lvl w:ilvl="0" w:tplc="FF92443E">
      <w:start w:val="1"/>
      <w:numFmt w:val="decimal"/>
      <w:lvlText w:val="%1."/>
      <w:lvlJc w:val="left"/>
      <w:pPr>
        <w:ind w:left="36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64CC54A4">
      <w:numFmt w:val="bullet"/>
      <w:lvlText w:val="•"/>
      <w:lvlJc w:val="left"/>
      <w:pPr>
        <w:ind w:left="1332" w:hanging="720"/>
      </w:pPr>
      <w:rPr>
        <w:rFonts w:hint="default"/>
        <w:lang w:val="en-US" w:eastAsia="en-US" w:bidi="ar-SA"/>
      </w:rPr>
    </w:lvl>
    <w:lvl w:ilvl="2" w:tplc="69020868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3" w:tplc="C00C3278">
      <w:numFmt w:val="bullet"/>
      <w:lvlText w:val="•"/>
      <w:lvlJc w:val="left"/>
      <w:pPr>
        <w:ind w:left="3276" w:hanging="720"/>
      </w:pPr>
      <w:rPr>
        <w:rFonts w:hint="default"/>
        <w:lang w:val="en-US" w:eastAsia="en-US" w:bidi="ar-SA"/>
      </w:rPr>
    </w:lvl>
    <w:lvl w:ilvl="4" w:tplc="92CE8A96">
      <w:numFmt w:val="bullet"/>
      <w:lvlText w:val="•"/>
      <w:lvlJc w:val="left"/>
      <w:pPr>
        <w:ind w:left="4248" w:hanging="720"/>
      </w:pPr>
      <w:rPr>
        <w:rFonts w:hint="default"/>
        <w:lang w:val="en-US" w:eastAsia="en-US" w:bidi="ar-SA"/>
      </w:rPr>
    </w:lvl>
    <w:lvl w:ilvl="5" w:tplc="0DB05C02">
      <w:numFmt w:val="bullet"/>
      <w:lvlText w:val="•"/>
      <w:lvlJc w:val="left"/>
      <w:pPr>
        <w:ind w:left="5220" w:hanging="720"/>
      </w:pPr>
      <w:rPr>
        <w:rFonts w:hint="default"/>
        <w:lang w:val="en-US" w:eastAsia="en-US" w:bidi="ar-SA"/>
      </w:rPr>
    </w:lvl>
    <w:lvl w:ilvl="6" w:tplc="0CF0CEF6">
      <w:numFmt w:val="bullet"/>
      <w:lvlText w:val="•"/>
      <w:lvlJc w:val="left"/>
      <w:pPr>
        <w:ind w:left="6192" w:hanging="720"/>
      </w:pPr>
      <w:rPr>
        <w:rFonts w:hint="default"/>
        <w:lang w:val="en-US" w:eastAsia="en-US" w:bidi="ar-SA"/>
      </w:rPr>
    </w:lvl>
    <w:lvl w:ilvl="7" w:tplc="4DEE1710">
      <w:numFmt w:val="bullet"/>
      <w:lvlText w:val="•"/>
      <w:lvlJc w:val="left"/>
      <w:pPr>
        <w:ind w:left="7164" w:hanging="720"/>
      </w:pPr>
      <w:rPr>
        <w:rFonts w:hint="default"/>
        <w:lang w:val="en-US" w:eastAsia="en-US" w:bidi="ar-SA"/>
      </w:rPr>
    </w:lvl>
    <w:lvl w:ilvl="8" w:tplc="29343830">
      <w:numFmt w:val="bullet"/>
      <w:lvlText w:val="•"/>
      <w:lvlJc w:val="left"/>
      <w:pPr>
        <w:ind w:left="8136" w:hanging="720"/>
      </w:pPr>
      <w:rPr>
        <w:rFonts w:hint="default"/>
        <w:lang w:val="en-US" w:eastAsia="en-US" w:bidi="ar-SA"/>
      </w:rPr>
    </w:lvl>
  </w:abstractNum>
  <w:num w:numId="1" w16cid:durableId="1609848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C80"/>
    <w:rsid w:val="000A3A4B"/>
    <w:rsid w:val="000D178D"/>
    <w:rsid w:val="001509DE"/>
    <w:rsid w:val="007A60EE"/>
    <w:rsid w:val="00890586"/>
    <w:rsid w:val="00A846F2"/>
    <w:rsid w:val="00B1392A"/>
    <w:rsid w:val="00C01A15"/>
    <w:rsid w:val="00F45699"/>
    <w:rsid w:val="00F6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B57A8"/>
  <w15:chartTrackingRefBased/>
  <w15:docId w15:val="{83696600-9E5C-40E7-BB1D-4FD5AFBF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0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t">
    <w:name w:val="cit"/>
    <w:basedOn w:val="DefaultParagraphFont"/>
    <w:rsid w:val="007A60EE"/>
  </w:style>
  <w:style w:type="character" w:customStyle="1" w:styleId="citation-doi">
    <w:name w:val="citation-doi"/>
    <w:basedOn w:val="DefaultParagraphFont"/>
    <w:rsid w:val="007A60EE"/>
  </w:style>
  <w:style w:type="paragraph" w:styleId="ListParagraph">
    <w:name w:val="List Paragraph"/>
    <w:basedOn w:val="Normal"/>
    <w:uiPriority w:val="1"/>
    <w:qFormat/>
    <w:rsid w:val="00A846F2"/>
    <w:pPr>
      <w:widowControl w:val="0"/>
      <w:autoSpaceDE w:val="0"/>
      <w:autoSpaceDN w:val="0"/>
      <w:spacing w:before="201"/>
      <w:ind w:left="360" w:right="357"/>
      <w:jc w:val="both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726</Words>
  <Characters>4601</Characters>
  <Application>Microsoft Office Word</Application>
  <DocSecurity>0</DocSecurity>
  <Lines>92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 Kamal</dc:creator>
  <cp:keywords/>
  <dc:description/>
  <cp:lastModifiedBy>Morris, April</cp:lastModifiedBy>
  <cp:revision>1</cp:revision>
  <dcterms:created xsi:type="dcterms:W3CDTF">2025-12-29T15:12:00Z</dcterms:created>
  <dcterms:modified xsi:type="dcterms:W3CDTF">2026-01-29T14:41:00Z</dcterms:modified>
</cp:coreProperties>
</file>